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line="100" w:lineRule="atLeast"/>
      </w:pPr>
      <w:r>
        <w:rPr/>
        <w:tab/>
        <w:tab/>
        <w:tab/>
        <w:tab/>
        <w:tab/>
        <w:tab/>
        <w:tab/>
        <w:tab/>
        <w:tab/>
      </w:r>
    </w:p>
    <w:p>
      <w:pPr>
        <w:pStyle w:val="style0"/>
        <w:jc w:val="right"/>
        <w:spacing w:line="100" w:lineRule="atLeast"/>
      </w:pPr>
      <w:r>
        <w:rPr>
          <w:sz w:val="24"/>
          <w:szCs w:val="24"/>
        </w:rPr>
        <w:t>Al Sindaco del Comune di Monza</w:t>
      </w:r>
    </w:p>
    <w:p>
      <w:pPr>
        <w:pStyle w:val="style0"/>
        <w:jc w:val="right"/>
        <w:spacing w:line="100" w:lineRule="atLeast"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Roberto Scanagatti</w:t>
      </w:r>
    </w:p>
    <w:p>
      <w:pPr>
        <w:pStyle w:val="style0"/>
        <w:jc w:val="right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right"/>
        <w:spacing w:line="100" w:lineRule="atLeast"/>
      </w:pPr>
      <w:r>
        <w:rPr>
          <w:sz w:val="24"/>
          <w:szCs w:val="24"/>
        </w:rPr>
        <w:tab/>
        <w:tab/>
        <w:tab/>
        <w:tab/>
        <w:tab/>
        <w:tab/>
        <w:t>Al Presidente della Provincia di Monza e della Brianza</w:t>
      </w:r>
    </w:p>
    <w:p>
      <w:pPr>
        <w:pStyle w:val="style0"/>
        <w:jc w:val="right"/>
        <w:spacing w:line="100" w:lineRule="atLeast"/>
      </w:pPr>
      <w:r>
        <w:rPr>
          <w:sz w:val="24"/>
          <w:szCs w:val="24"/>
        </w:rPr>
        <w:t>Dario Allevi</w:t>
      </w:r>
    </w:p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spacing w:line="100" w:lineRule="atLeast"/>
      </w:pPr>
      <w:r>
        <w:rPr>
          <w:sz w:val="24"/>
          <w:szCs w:val="24"/>
        </w:rPr>
        <w:t>Oggetto: Installazione di “ impianto di trattamento di rifiuti speciali non pericolosi” in viale delle Industrie, Monza</w:t>
      </w:r>
    </w:p>
    <w:p>
      <w:pPr>
        <w:pStyle w:val="style0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</w:rPr>
        <w:t>Egr. Sig. Sindaco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</w:rPr>
        <w:t>Egr. Sig. Presidente</w:t>
      </w:r>
    </w:p>
    <w:p>
      <w:pPr>
        <w:pStyle w:val="style0"/>
        <w:jc w:val="both"/>
        <w:spacing w:line="100" w:lineRule="atLeast"/>
      </w:pPr>
      <w:r>
        <w:rPr>
          <w:sz w:val="24"/>
          <w:szCs w:val="24"/>
        </w:rPr>
        <w:t xml:space="preserve">Avendo visionato la documentazione inerente la costruzione dell’ “Impianto di trattamento di rifiuti speciali non pericolosi” in località viale delle Industrie, i Comitati di S. Damiano e S. Albino chiedono a Codeste Amministrazioni, </w:t>
      </w:r>
      <w:r>
        <w:rPr>
          <w:sz w:val="24"/>
          <w:u w:val="single"/>
          <w:szCs w:val="24"/>
        </w:rPr>
        <w:t>l’immediata sospensione dei lavori</w:t>
      </w:r>
      <w:r>
        <w:rPr>
          <w:sz w:val="24"/>
          <w:szCs w:val="24"/>
        </w:rPr>
        <w:t xml:space="preserve"> per i motivi di seguito indicati: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 xml:space="preserve">Gravi anomalie dell’iter procedurale 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>Inadeguatezza della scelta dell’ubicazione: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24"/>
          <w:szCs w:val="24"/>
        </w:rPr>
        <w:t>30-50 m. dalle abitazioni</w:t>
      </w:r>
    </w:p>
    <w:p>
      <w:pPr>
        <w:pStyle w:val="style23"/>
        <w:numPr>
          <w:ilvl w:val="0"/>
          <w:numId w:val="2"/>
        </w:numPr>
        <w:spacing w:line="100" w:lineRule="atLeast"/>
      </w:pPr>
      <w:r>
        <w:rPr>
          <w:sz w:val="24"/>
          <w:szCs w:val="24"/>
        </w:rPr>
        <w:t>Vicinanza di un punto di captazione acque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>Inquinamento delle falde e dell’ambiente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>Inquinamento per fumi e rumori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>Contaminazione del terreno</w:t>
      </w:r>
    </w:p>
    <w:p>
      <w:pPr>
        <w:pStyle w:val="style23"/>
        <w:numPr>
          <w:ilvl w:val="0"/>
          <w:numId w:val="1"/>
        </w:numPr>
        <w:spacing w:line="100" w:lineRule="atLeast"/>
      </w:pPr>
      <w:r>
        <w:rPr>
          <w:sz w:val="24"/>
          <w:szCs w:val="24"/>
        </w:rPr>
        <w:t>Aumento del traffico pesante.</w:t>
      </w:r>
    </w:p>
    <w:p>
      <w:pPr>
        <w:pStyle w:val="style23"/>
        <w:spacing w:line="100" w:lineRule="atLeast"/>
      </w:pPr>
      <w:r>
        <w:rPr>
          <w:sz w:val="24"/>
          <w:szCs w:val="24"/>
        </w:rPr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</w:rPr>
        <w:t>In caso di inerzia degli organi preposti alla salvaguardia della salute dei cittadini e dell’ambiente, il Comitato si riserva di procedere mediante le forme di protesta che riterrà più opportune.</w:t>
      </w:r>
    </w:p>
    <w:p>
      <w:pPr>
        <w:pStyle w:val="style0"/>
        <w:jc w:val="both"/>
        <w:ind w:firstLine="709" w:left="0" w:right="0"/>
        <w:spacing w:line="100" w:lineRule="atLeast"/>
      </w:pPr>
      <w:r>
        <w:rPr>
          <w:sz w:val="24"/>
          <w:szCs w:val="24"/>
        </w:rPr>
        <w:t>Si allegano le firme dei cittadini indignati che sottoscrivono la presente richiesta.</w:t>
      </w:r>
    </w:p>
    <w:p>
      <w:pPr>
        <w:pStyle w:val="style23"/>
        <w:ind w:hanging="0" w:left="2136" w:right="0"/>
        <w:spacing w:line="100" w:lineRule="atLeast"/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23"/>
        <w:ind w:hanging="0" w:left="2136" w:right="0"/>
        <w:spacing w:line="100" w:lineRule="atLeast"/>
      </w:pPr>
      <w:r>
        <w:rPr>
          <w:sz w:val="24"/>
          <w:szCs w:val="24"/>
        </w:rPr>
      </w:r>
    </w:p>
    <w:p>
      <w:pPr>
        <w:pStyle w:val="style23"/>
        <w:ind w:hanging="0" w:left="2136" w:right="0"/>
        <w:spacing w:line="100" w:lineRule="atLeast"/>
      </w:pPr>
      <w:r>
        <w:rPr>
          <w:sz w:val="24"/>
          <w:szCs w:val="24"/>
        </w:rPr>
      </w:r>
    </w:p>
    <w:p>
      <w:pPr>
        <w:pStyle w:val="style23"/>
        <w:ind w:hanging="2136" w:left="2136" w:right="0"/>
        <w:spacing w:line="100" w:lineRule="atLeast"/>
      </w:pPr>
      <w:r>
        <w:rPr>
          <w:sz w:val="24"/>
          <w:szCs w:val="24"/>
        </w:rPr>
        <w:t xml:space="preserve">Maggio 2013 </w:t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23"/>
        <w:jc w:val="right"/>
        <w:ind w:hanging="2136" w:left="2136" w:right="0"/>
        <w:spacing w:line="100" w:lineRule="atLeast"/>
      </w:pPr>
      <w:r>
        <w:rPr>
          <w:sz w:val="24"/>
          <w:szCs w:val="24"/>
        </w:rPr>
        <w:t>I COMITATI DI SAN DAMIANO (BRUGHERIO)  E DI SANT’ALBINO (MONZA)</w:t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2136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856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3576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4296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5016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736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6456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7176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896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List Paragraph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2013-05-10T13:39:00.00Z</dcterms:created>
  <dc:creator>MeriSte</dc:creator>
  <cp:lastModifiedBy>Windows User</cp:lastModifiedBy>
  <dcterms:modified xsi:type="dcterms:W3CDTF">2013-05-10T22:24:00.00Z</dcterms:modified>
  <cp:revision>9</cp:revision>
</cp:coreProperties>
</file>