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B2" w:rsidRP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</w:rPr>
      </w:pPr>
      <w:r w:rsidRPr="00AC61B2">
        <w:rPr>
          <w:rFonts w:ascii="TrebuchetMS" w:hAnsi="TrebuchetMS" w:cs="TrebuchetMS"/>
          <w:b/>
        </w:rPr>
        <w:t>3. Riduzione del perimetro del Piano Particolareggiato Pompei/Ercolano e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</w:rPr>
      </w:pPr>
      <w:r w:rsidRPr="00AC61B2">
        <w:rPr>
          <w:rFonts w:ascii="TrebuchetMS" w:hAnsi="TrebuchetMS" w:cs="TrebuchetMS"/>
          <w:b/>
        </w:rPr>
        <w:t>riclassificazione delle aree residue in aree agricole E</w:t>
      </w:r>
    </w:p>
    <w:p w:rsidR="00AC61B2" w:rsidRP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</w:rPr>
      </w:pPr>
      <w:bookmarkStart w:id="0" w:name="_GoBack"/>
      <w:bookmarkEnd w:id="0"/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Sempre nell’ottica della valorizzazione degli spazi aperti periurbani, viene proposto lo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stralcio di alcune aree incluse nel Piano Particolareggiato Pompei/Ercolano, con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relativa riclassificazione in area agricola.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Infatti, a distanza di sette anni dall’approvazione di tale piano particolareggiato, solo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uno dei lotti ha trovato attuazione completa, per due sono stati iniziati ma non ultimati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i lavori, mentre per altri lotti, al momento della redazione della presente relazione,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non sono state neppure presentate le domande di permesso di costruire né è stata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stipulata la relativa convenzione.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La variante propone di salvaguardare una fascia di aree libere a protezione dell’abitato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di Sant’Albino dall’attiguo compendio industriale, evitando, altresì, la creazione di un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nuovo accesso sulla via Adda, che porterebbe ulteriore traffico all’interno del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quartiere.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Il documento di analisi territoriale di marzo 2013 rileva, come maggior fattore di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criticità delle trasformazioni verificatesi in questi anni, il “divario tra un ambito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urbano centrale riconoscibile … e quelli più periferici largamente dequalificati in cui è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difficile cogliere e costruire caratteri di identità” (cfr. pag. 11, Documento di analisi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territoriale e valutazione dei possibili scenari strategici per la pianificazione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comunale).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Tale scelta, peraltro, è coerente con quella (esposta al successivo punto 4) volta a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conferire la medesima destinazione ad altra area, posta ad est della via Adda, di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proprietà comunale; entrambe le aree tendono al potenziamento del Parco di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Sant’Albino, già identificato dal vigente PGT.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Anche alla luce della mutata situazione economica, risulta, pertanto, indispensabile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contenere le dimensioni del Piano Particolareggiato, concentrandone lo sviluppo nella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parte nord, ridimensionando anche le urbanizzazioni, che, diversamente, potrebbero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costituire un onere eccessivo, in rapporto agli interventi effettivamente utili sotto il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profilo produttivo.</w:t>
      </w:r>
      <w:r w:rsidRPr="00AC61B2">
        <w:rPr>
          <w:rFonts w:ascii="TrebuchetMS" w:hAnsi="TrebuchetMS" w:cs="TrebuchetMS"/>
        </w:rPr>
        <w:t xml:space="preserve"> 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All’interno del processo di revisione del Piano Particolareggiato, inoltre, dovrà essere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potenziata la dotazione di aree a verde, da concentrare nella parte sud, verso l’abitato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di Sant’Albino.</w:t>
      </w:r>
    </w:p>
    <w:p w:rsidR="00744D94" w:rsidRDefault="00AC61B2" w:rsidP="00AC61B2">
      <w:pPr>
        <w:rPr>
          <w:rFonts w:ascii="TrebuchetMS" w:hAnsi="TrebuchetMS" w:cs="TrebuchetMS"/>
        </w:rPr>
      </w:pPr>
      <w:r>
        <w:rPr>
          <w:rFonts w:ascii="TrebuchetMS" w:hAnsi="TrebuchetMS" w:cs="TrebuchetMS"/>
        </w:rPr>
        <w:t>L’entità degli spazi riclassificati in area agricola E ammonta a circa 11.400 mq.</w:t>
      </w:r>
    </w:p>
    <w:p w:rsidR="00AC61B2" w:rsidRDefault="00AC61B2" w:rsidP="00AC61B2">
      <w:pPr>
        <w:rPr>
          <w:rFonts w:ascii="TrebuchetMS" w:hAnsi="TrebuchetMS" w:cs="TrebuchetMS"/>
        </w:rPr>
      </w:pP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</w:rPr>
      </w:pPr>
      <w:r w:rsidRPr="00AC61B2">
        <w:rPr>
          <w:rFonts w:ascii="TrebuchetMS" w:hAnsi="TrebuchetMS" w:cs="TrebuchetMS"/>
          <w:b/>
        </w:rPr>
        <w:t>4. Salvaguardia di alcune aree comunali</w:t>
      </w:r>
    </w:p>
    <w:p w:rsidR="00AC61B2" w:rsidRP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</w:rPr>
      </w:pP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In ultimo sembra necessario che, nell’ottica del contenimento del consumo del suolo e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della salvaguardia dei caratteri naturali del territorio, il Comune dia il “buon esempio”,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conferendo ad aree libere in piena proprietà e di maggiori dimensioni una destinazione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coerente con tale obiettivo.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Le aree oggetto di tutela sono le seguenti: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rebuchetMS" w:hAnsi="TrebuchetMS" w:cs="TrebuchetMS"/>
        </w:rPr>
        <w:t>aree ad est di Via Adda, da riclassificare in area agricola E, per il potenziamento del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Parco Agricolo di Sant’Albino (come previsto nella versione originaria del PGT,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modificato in seguito all’approvazione del Piano delle Alienazioni e delle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Valorizzazioni in allegato al Bilancio di Previsione 2009, come da Deliberazione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Consiliare n. 11 del 10 febbraio 2009); l’obiettivo è di realizzare su tali aree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progetti di valorizzazione per agricoltura biologica/di prossimità e/o orti urbani;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rebuchetMS" w:hAnsi="TrebuchetMS" w:cs="TrebuchetMS"/>
        </w:rPr>
        <w:t>area a nord della Cascina S. Bernardo al confine con Villasanta, da riclassificare in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area a servizi F3; si tratta di un’area meritevole di salvaguardia, inclusa nella rete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verde di ricomposizione paesaggistica prevista dal Piano provinciale; la parte</w:t>
      </w:r>
    </w:p>
    <w:p w:rsidR="00AC61B2" w:rsidRDefault="00AC61B2" w:rsidP="00AC61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lastRenderedPageBreak/>
        <w:t>adiacente alla SP 60 potrà essere utilizzata per interventi di rimboschimento.</w:t>
      </w:r>
    </w:p>
    <w:p w:rsidR="00AC61B2" w:rsidRDefault="00AC61B2" w:rsidP="00AC61B2">
      <w:pPr>
        <w:rPr>
          <w:rFonts w:ascii="TrebuchetMS" w:hAnsi="TrebuchetMS" w:cs="TrebuchetMS"/>
        </w:rPr>
      </w:pPr>
      <w:r>
        <w:rPr>
          <w:rFonts w:ascii="TrebuchetMS" w:hAnsi="TrebuchetMS" w:cs="TrebuchetMS"/>
        </w:rPr>
        <w:t>La superficie complessiva delle aree oggetto di tutela ammonta a circa 89.000 mq</w:t>
      </w:r>
    </w:p>
    <w:p w:rsidR="00AC61B2" w:rsidRDefault="00AC61B2" w:rsidP="00AC61B2">
      <w:pPr>
        <w:rPr>
          <w:rFonts w:ascii="TrebuchetMS" w:hAnsi="TrebuchetMS" w:cs="TrebuchetMS"/>
        </w:rPr>
      </w:pPr>
    </w:p>
    <w:p w:rsidR="00AC61B2" w:rsidRDefault="00AC61B2" w:rsidP="00AC61B2"/>
    <w:sectPr w:rsidR="00AC61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B2"/>
    <w:rsid w:val="00744D94"/>
    <w:rsid w:val="00AC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2013-09-25T16:03:00Z</dcterms:created>
  <dcterms:modified xsi:type="dcterms:W3CDTF">2013-09-25T16:07:00Z</dcterms:modified>
</cp:coreProperties>
</file>